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5" w:rsidRDefault="00FF62E5">
      <w:pPr>
        <w:pStyle w:val="BodyTextFJ"/>
        <w:jc w:val="center"/>
        <w:rPr>
          <w:b/>
          <w:bCs/>
          <w:sz w:val="28"/>
        </w:rPr>
      </w:pPr>
      <w:r>
        <w:rPr>
          <w:b/>
          <w:bCs/>
          <w:sz w:val="28"/>
        </w:rPr>
        <w:t>Traps for the Unwary:  Understanding the Unintended Consequences of Boilerplate Provisions in M&amp;A Agreements</w:t>
      </w:r>
    </w:p>
    <w:p w:rsidR="00FF62E5" w:rsidRDefault="00FF62E5">
      <w:pPr>
        <w:pStyle w:val="BodyTextFJ"/>
        <w:jc w:val="center"/>
        <w:rPr>
          <w:b/>
          <w:bCs/>
          <w:caps/>
          <w:noProof/>
          <w:szCs w:val="24"/>
        </w:rPr>
      </w:pPr>
      <w:r>
        <w:rPr>
          <w:b/>
          <w:bCs/>
          <w:sz w:val="28"/>
        </w:rPr>
        <w:t>Cross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181"/>
        <w:gridCol w:w="1041"/>
        <w:gridCol w:w="3348"/>
        <w:gridCol w:w="3645"/>
        <w:gridCol w:w="3645"/>
      </w:tblGrid>
      <w:tr w:rsidR="00FF6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7" w:type="dxa"/>
            <w:gridSpan w:val="2"/>
          </w:tcPr>
          <w:p w:rsidR="00FF62E5" w:rsidRDefault="00FF62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RMSPA</w:t>
            </w:r>
          </w:p>
        </w:tc>
        <w:tc>
          <w:tcPr>
            <w:tcW w:w="4389" w:type="dxa"/>
            <w:gridSpan w:val="2"/>
          </w:tcPr>
          <w:p w:rsidR="00FF62E5" w:rsidRDefault="00FF62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Stark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Supinuck and Stark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MAPA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1.2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Usage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Chs 20-21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Interpretive Provisions, 591-602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1.2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Expenses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12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Transaction Costs,  361-390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12.2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Public Announcements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14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Announcements,  427-459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13.2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12.3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Notices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15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Notices,  461-501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13.3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12.4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Jurisdiction; Service Of Process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 xml:space="preserve">Ch 6, 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Forum Selection Provision,  128-143 (chapter also includes governing law)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27-31 (includes governing law)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13.4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12.5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Further Assurances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22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Further Assurances,  605-639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10.11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12.6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Enforcement Of Agreement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13.5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" w:type="dxa"/>
            <w:vMerge w:val="restart"/>
          </w:tcPr>
          <w:p w:rsidR="00FF62E5" w:rsidRDefault="00FF62E5">
            <w:pPr>
              <w:pStyle w:val="BodyText"/>
            </w:pPr>
            <w:r>
              <w:t>12.7</w:t>
            </w:r>
          </w:p>
        </w:tc>
        <w:tc>
          <w:tcPr>
            <w:tcW w:w="2181" w:type="dxa"/>
            <w:vMerge w:val="restart"/>
          </w:tcPr>
          <w:p w:rsidR="00FF62E5" w:rsidRDefault="00FF62E5">
            <w:pPr>
              <w:pStyle w:val="BodyText"/>
            </w:pPr>
            <w:r>
              <w:t>Remedies Cumulative; No Waiver; Attorneys’ Fees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9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Cumulative Remedies and Election of Remedies, 205-239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  <w:vMerge w:val="restart"/>
          </w:tcPr>
          <w:p w:rsidR="00FF62E5" w:rsidRDefault="00FF62E5">
            <w:pPr>
              <w:pStyle w:val="BodyText"/>
            </w:pPr>
            <w:r>
              <w:t>Section 13.6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2181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16, §16.07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Part of Amendment and Modification, 505-538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23-24</w:t>
            </w: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2181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12, §12.06-12.08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Part of Transaction Costs, 361-390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16-20</w:t>
            </w: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</w:tr>
    </w:tbl>
    <w:p w:rsidR="00FF62E5" w:rsidRDefault="00FF62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181"/>
        <w:gridCol w:w="1041"/>
        <w:gridCol w:w="3348"/>
        <w:gridCol w:w="3645"/>
        <w:gridCol w:w="3645"/>
      </w:tblGrid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56" w:type="dxa"/>
            <w:vMerge w:val="restart"/>
          </w:tcPr>
          <w:p w:rsidR="00FF62E5" w:rsidRDefault="00FF62E5">
            <w:pPr>
              <w:pStyle w:val="BodyText"/>
            </w:pPr>
            <w:r>
              <w:t>12.8</w:t>
            </w:r>
          </w:p>
        </w:tc>
        <w:tc>
          <w:tcPr>
            <w:tcW w:w="2181" w:type="dxa"/>
            <w:vMerge w:val="restart"/>
          </w:tcPr>
          <w:p w:rsidR="00FF62E5" w:rsidRDefault="00FF62E5">
            <w:pPr>
              <w:pStyle w:val="BodyText"/>
            </w:pPr>
            <w:r>
              <w:t>Entire Agreement And Modification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18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Merger, 559-575</w:t>
            </w:r>
          </w:p>
        </w:tc>
        <w:tc>
          <w:tcPr>
            <w:tcW w:w="3645" w:type="dxa"/>
            <w:vMerge w:val="restart"/>
          </w:tcPr>
          <w:p w:rsidR="00FF62E5" w:rsidRDefault="00FF62E5">
            <w:pPr>
              <w:pStyle w:val="BodyText"/>
            </w:pPr>
            <w:r>
              <w:t>21-22</w:t>
            </w:r>
          </w:p>
        </w:tc>
        <w:tc>
          <w:tcPr>
            <w:tcW w:w="3645" w:type="dxa"/>
            <w:vMerge w:val="restart"/>
          </w:tcPr>
          <w:p w:rsidR="00FF62E5" w:rsidRDefault="00FF62E5">
            <w:pPr>
              <w:pStyle w:val="BodyText"/>
            </w:pPr>
            <w:r>
              <w:t>Section 13.7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56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2181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16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Amendment and Waiver, 505-538</w:t>
            </w: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12.9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Disclosure Letter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13.8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56" w:type="dxa"/>
            <w:vMerge w:val="restart"/>
          </w:tcPr>
          <w:p w:rsidR="00FF62E5" w:rsidRDefault="00FF62E5">
            <w:pPr>
              <w:pStyle w:val="BodyText"/>
            </w:pPr>
            <w:r>
              <w:t>12.10</w:t>
            </w:r>
          </w:p>
        </w:tc>
        <w:tc>
          <w:tcPr>
            <w:tcW w:w="2181" w:type="dxa"/>
            <w:vMerge w:val="restart"/>
          </w:tcPr>
          <w:p w:rsidR="00FF62E5" w:rsidRDefault="00FF62E5">
            <w:pPr>
              <w:pStyle w:val="BodyText"/>
            </w:pPr>
            <w:r>
              <w:t>Assignments And Successors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3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Assignment and Delegation, 23-78</w:t>
            </w:r>
          </w:p>
        </w:tc>
        <w:tc>
          <w:tcPr>
            <w:tcW w:w="3645" w:type="dxa"/>
            <w:vMerge w:val="restart"/>
          </w:tcPr>
          <w:p w:rsidR="00FF62E5" w:rsidRDefault="00FF62E5">
            <w:pPr>
              <w:pStyle w:val="BodyText"/>
            </w:pPr>
            <w:r>
              <w:t>12-15</w:t>
            </w:r>
          </w:p>
        </w:tc>
        <w:tc>
          <w:tcPr>
            <w:tcW w:w="3645" w:type="dxa"/>
            <w:vMerge w:val="restart"/>
          </w:tcPr>
          <w:p w:rsidR="00FF62E5" w:rsidRDefault="00FF62E5">
            <w:pPr>
              <w:pStyle w:val="BodyText"/>
            </w:pPr>
            <w:r>
              <w:t>Section 13.9 (includes no third party rights)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56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2181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4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Successors and Assigns, 79-93</w:t>
            </w: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  <w:vMerge/>
          </w:tcPr>
          <w:p w:rsidR="00FF62E5" w:rsidRDefault="00FF62E5">
            <w:pPr>
              <w:pStyle w:val="BodyText"/>
            </w:pP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12.11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No Third Party Rights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5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Third Party Beneficiaries, 95-106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13.9 (includes assignments and successors)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12.12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Severability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17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Severability, 539-557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13.10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12.13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Time Of Essence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13.12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12.14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Governing Law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6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Governing Law Provision,  112-128 (chapter also includes forum selection)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27-31 (includes forum selection)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13.13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12.15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Counterparts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19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Counterparts, 577-588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13.14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12.16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Waiver Of Jury Trial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  <w:r>
              <w:t>Ch 7</w:t>
            </w: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  <w:r>
              <w:t>Waiver of Jury Trial, 145-167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25-26</w:t>
            </w: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13.15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12.17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Sellers’ Obligations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  <w:r>
              <w:t>Section 13.16</w:t>
            </w:r>
          </w:p>
        </w:tc>
      </w:tr>
      <w:tr w:rsidR="00FF62E5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FF62E5" w:rsidRDefault="00FF62E5">
            <w:pPr>
              <w:pStyle w:val="BodyText"/>
            </w:pPr>
            <w:r>
              <w:t>12.18</w:t>
            </w:r>
          </w:p>
        </w:tc>
        <w:tc>
          <w:tcPr>
            <w:tcW w:w="2181" w:type="dxa"/>
          </w:tcPr>
          <w:p w:rsidR="00FF62E5" w:rsidRDefault="00FF62E5">
            <w:pPr>
              <w:pStyle w:val="BodyText"/>
            </w:pPr>
            <w:r>
              <w:t>Sellers’ Representative</w:t>
            </w:r>
          </w:p>
        </w:tc>
        <w:tc>
          <w:tcPr>
            <w:tcW w:w="1041" w:type="dxa"/>
          </w:tcPr>
          <w:p w:rsidR="00FF62E5" w:rsidRDefault="00FF62E5">
            <w:pPr>
              <w:pStyle w:val="BodyText"/>
            </w:pPr>
          </w:p>
        </w:tc>
        <w:tc>
          <w:tcPr>
            <w:tcW w:w="3348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  <w:tc>
          <w:tcPr>
            <w:tcW w:w="3645" w:type="dxa"/>
          </w:tcPr>
          <w:p w:rsidR="00FF62E5" w:rsidRDefault="00FF62E5">
            <w:pPr>
              <w:pStyle w:val="BodyText"/>
            </w:pPr>
          </w:p>
        </w:tc>
      </w:tr>
    </w:tbl>
    <w:p w:rsidR="00FF62E5" w:rsidRDefault="00FF62E5">
      <w:pPr>
        <w:pStyle w:val="BodyText"/>
      </w:pPr>
    </w:p>
    <w:sectPr w:rsidR="00FF62E5" w:rsidSect="00FF6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E5" w:rsidRDefault="00FF62E5">
      <w:r>
        <w:separator/>
      </w:r>
    </w:p>
  </w:endnote>
  <w:endnote w:type="continuationSeparator" w:id="0">
    <w:p w:rsidR="00FF62E5" w:rsidRDefault="00FF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Footer"/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FF62E5" w:rsidRDefault="00FF62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E5" w:rsidRDefault="00FF62E5">
      <w:r>
        <w:separator/>
      </w:r>
    </w:p>
  </w:footnote>
  <w:footnote w:type="continuationSeparator" w:id="0">
    <w:p w:rsidR="00FF62E5" w:rsidRDefault="00FF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Header"/>
      <w:framePr w:wrap="around" w:vAnchor="text" w:hAnchor="margin" w:xAlign="right" w:y="1"/>
    </w:pPr>
    <w:fldSimple w:instr="PAGE  ">
      <w:r>
        <w:t>1</w:t>
      </w:r>
    </w:fldSimple>
  </w:p>
  <w:p w:rsidR="00FF62E5" w:rsidRDefault="00FF62E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5" w:rsidRDefault="00FF6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C0CAD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0EA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0C99"/>
    <w:multiLevelType w:val="hybridMultilevel"/>
    <w:tmpl w:val="D9C02F2A"/>
    <w:lvl w:ilvl="0" w:tplc="369A392E">
      <w:start w:val="1"/>
      <w:numFmt w:val="bullet"/>
      <w:pStyle w:val="DW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73242"/>
    <w:multiLevelType w:val="multilevel"/>
    <w:tmpl w:val="F2D46CF0"/>
    <w:lvl w:ilvl="0">
      <w:start w:val="1"/>
      <w:numFmt w:val="none"/>
      <w:pStyle w:val="Heading1"/>
      <w:suff w:val="nothing"/>
      <w:lvlText w:val="%1"/>
      <w:lvlJc w:val="center"/>
      <w:rPr>
        <w:rFonts w:cs="Times New Roman" w:hint="default"/>
        <w:u w:val="none"/>
      </w:rPr>
    </w:lvl>
    <w:lvl w:ilvl="1">
      <w:start w:val="1"/>
      <w:numFmt w:val="none"/>
      <w:pStyle w:val="Heading2"/>
      <w:suff w:val="nothing"/>
      <w:lvlText w:val="%2"/>
      <w:lvlJc w:val="left"/>
      <w:rPr>
        <w:rFonts w:cs="Times New Roman" w:hint="default"/>
        <w:u w:val="none"/>
      </w:rPr>
    </w:lvl>
    <w:lvl w:ilvl="2">
      <w:start w:val="1"/>
      <w:numFmt w:val="none"/>
      <w:pStyle w:val="Heading3"/>
      <w:suff w:val="nothing"/>
      <w:lvlText w:val="%3"/>
      <w:lvlJc w:val="left"/>
      <w:rPr>
        <w:rFonts w:cs="Times New Roman" w:hint="default"/>
        <w:u w:val="none"/>
      </w:rPr>
    </w:lvl>
    <w:lvl w:ilvl="3">
      <w:start w:val="1"/>
      <w:numFmt w:val="none"/>
      <w:pStyle w:val="Heading4"/>
      <w:suff w:val="nothing"/>
      <w:lvlText w:val="%4"/>
      <w:lvlJc w:val="left"/>
      <w:rPr>
        <w:rFonts w:cs="Times New Roman" w:hint="default"/>
        <w:u w:val="none"/>
      </w:rPr>
    </w:lvl>
    <w:lvl w:ilvl="4">
      <w:start w:val="1"/>
      <w:numFmt w:val="none"/>
      <w:pStyle w:val="Heading5"/>
      <w:suff w:val="nothing"/>
      <w:lvlText w:val="%5"/>
      <w:lvlJc w:val="left"/>
      <w:rPr>
        <w:rFonts w:cs="Times New Roman" w:hint="default"/>
        <w:u w:val="non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rPr>
        <w:rFonts w:cs="Times New Roman" w:hint="default"/>
        <w:u w:val="none"/>
      </w:rPr>
    </w:lvl>
    <w:lvl w:ilvl="6">
      <w:start w:val="1"/>
      <w:numFmt w:val="none"/>
      <w:pStyle w:val="Heading7"/>
      <w:suff w:val="nothing"/>
      <w:lvlText w:val="%7"/>
      <w:lvlJc w:val="left"/>
      <w:rPr>
        <w:rFonts w:cs="Times New Roman" w:hint="default"/>
        <w:u w:val="none"/>
      </w:rPr>
    </w:lvl>
    <w:lvl w:ilvl="7">
      <w:start w:val="1"/>
      <w:numFmt w:val="none"/>
      <w:pStyle w:val="Heading8"/>
      <w:suff w:val="nothing"/>
      <w:lvlText w:val="%8"/>
      <w:lvlJc w:val="left"/>
      <w:rPr>
        <w:rFonts w:cs="Times New Roman" w:hint="default"/>
        <w:u w:val="none"/>
      </w:rPr>
    </w:lvl>
    <w:lvl w:ilvl="8">
      <w:start w:val="1"/>
      <w:numFmt w:val="none"/>
      <w:pStyle w:val="Heading9"/>
      <w:suff w:val="nothing"/>
      <w:lvlText w:val="%9"/>
      <w:lvlJc w:val="left"/>
      <w:rPr>
        <w:rFonts w:cs="Times New Roman" w:hint="default"/>
        <w:u w:val="none"/>
      </w:rPr>
    </w:lvl>
  </w:abstractNum>
  <w:abstractNum w:abstractNumId="13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B2A29AC"/>
    <w:multiLevelType w:val="hybridMultilevel"/>
    <w:tmpl w:val="CE948D28"/>
    <w:lvl w:ilvl="0" w:tplc="23F24968">
      <w:start w:val="1"/>
      <w:numFmt w:val="decimal"/>
      <w:pStyle w:val="DWListNumb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1"/>
  </w:num>
  <w:num w:numId="20">
    <w:abstractNumId w:val="13"/>
  </w:num>
  <w:num w:numId="21">
    <w:abstractNumId w:val="10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E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keepNext/>
      <w:keepLines/>
      <w:numPr>
        <w:numId w:val="23"/>
      </w:numPr>
      <w:jc w:val="center"/>
      <w:outlineLvl w:val="0"/>
    </w:pPr>
    <w:rPr>
      <w:b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numPr>
        <w:ilvl w:val="1"/>
        <w:numId w:val="23"/>
      </w:numPr>
      <w:outlineLvl w:val="1"/>
    </w:pPr>
    <w:rPr>
      <w:b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numPr>
        <w:ilvl w:val="2"/>
        <w:numId w:val="23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numPr>
        <w:ilvl w:val="3"/>
        <w:numId w:val="23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numPr>
        <w:ilvl w:val="4"/>
        <w:numId w:val="23"/>
      </w:numPr>
      <w:outlineLvl w:val="4"/>
    </w:pPr>
  </w:style>
  <w:style w:type="paragraph" w:styleId="Heading6">
    <w:name w:val="heading 6"/>
    <w:basedOn w:val="Heading"/>
    <w:next w:val="BodyText"/>
    <w:link w:val="Heading6Char"/>
    <w:uiPriority w:val="9"/>
    <w:qFormat/>
    <w:pPr>
      <w:numPr>
        <w:ilvl w:val="5"/>
        <w:numId w:val="23"/>
      </w:numPr>
      <w:outlineLvl w:val="5"/>
    </w:pPr>
  </w:style>
  <w:style w:type="paragraph" w:styleId="Heading7">
    <w:name w:val="heading 7"/>
    <w:basedOn w:val="Heading"/>
    <w:next w:val="BodyText"/>
    <w:link w:val="Heading7Char"/>
    <w:uiPriority w:val="9"/>
    <w:qFormat/>
    <w:pPr>
      <w:numPr>
        <w:ilvl w:val="6"/>
        <w:numId w:val="23"/>
      </w:numPr>
      <w:outlineLvl w:val="6"/>
    </w:pPr>
  </w:style>
  <w:style w:type="paragraph" w:styleId="Heading8">
    <w:name w:val="heading 8"/>
    <w:basedOn w:val="Heading"/>
    <w:next w:val="BodyText"/>
    <w:link w:val="Heading8Char"/>
    <w:uiPriority w:val="9"/>
    <w:qFormat/>
    <w:pPr>
      <w:numPr>
        <w:ilvl w:val="7"/>
        <w:numId w:val="23"/>
      </w:numPr>
      <w:outlineLvl w:val="7"/>
    </w:pPr>
  </w:style>
  <w:style w:type="paragraph" w:styleId="Heading9">
    <w:name w:val="heading 9"/>
    <w:basedOn w:val="Heading"/>
    <w:next w:val="BodyText"/>
    <w:link w:val="Heading9Char"/>
    <w:uiPriority w:val="9"/>
    <w:qFormat/>
    <w:pPr>
      <w:numPr>
        <w:ilvl w:val="8"/>
        <w:numId w:val="23"/>
      </w:numPr>
      <w:outlineLvl w:val="8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F62E5"/>
    <w:rPr>
      <w:b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FF62E5"/>
    <w:rPr>
      <w:b/>
      <w:sz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FF62E5"/>
    <w:rPr>
      <w:sz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FF62E5"/>
    <w:rPr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FF62E5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62E5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62E5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F62E5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62E5"/>
    <w:rPr>
      <w:sz w:val="24"/>
    </w:rPr>
  </w:style>
  <w:style w:type="paragraph" w:customStyle="1" w:styleId="Heading">
    <w:name w:val="Heading"/>
    <w:basedOn w:val="Normal"/>
    <w:pPr>
      <w:spacing w:after="240"/>
    </w:pPr>
  </w:style>
  <w:style w:type="paragraph" w:styleId="BodyText">
    <w:name w:val="Body Text"/>
    <w:aliases w:val="bt,b"/>
    <w:basedOn w:val="Normal"/>
    <w:link w:val="BodyTextChar"/>
    <w:uiPriority w:val="99"/>
    <w:pPr>
      <w:spacing w:after="240"/>
    </w:pPr>
  </w:style>
  <w:style w:type="character" w:customStyle="1" w:styleId="BodyTextChar">
    <w:name w:val="Body Text Char"/>
    <w:aliases w:val="bt Char,b Char"/>
    <w:basedOn w:val="DefaultParagraphFont"/>
    <w:link w:val="BodyText"/>
    <w:uiPriority w:val="99"/>
    <w:semiHidden/>
    <w:rsid w:val="00FF62E5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2E5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E5"/>
  </w:style>
  <w:style w:type="paragraph" w:customStyle="1" w:styleId="Company">
    <w:name w:val="Company"/>
    <w:basedOn w:val="Normal"/>
    <w:pPr>
      <w:spacing w:after="240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2E5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2E5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2E5"/>
  </w:style>
  <w:style w:type="paragraph" w:styleId="Header">
    <w:name w:val="header"/>
    <w:basedOn w:val="Normal"/>
    <w:link w:val="HeaderChar"/>
    <w:uiPriority w:val="99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62E5"/>
    <w:rPr>
      <w:sz w:val="24"/>
    </w:rPr>
  </w:style>
  <w:style w:type="paragraph" w:styleId="Index1">
    <w:name w:val="index 1"/>
    <w:basedOn w:val="Index"/>
    <w:next w:val="Normal"/>
    <w:autoRedefine/>
    <w:uiPriority w:val="99"/>
    <w:semiHidden/>
  </w:style>
  <w:style w:type="paragraph" w:customStyle="1" w:styleId="Index">
    <w:name w:val="Index"/>
    <w:basedOn w:val="Normal"/>
  </w:style>
  <w:style w:type="paragraph" w:styleId="Index2">
    <w:name w:val="index 2"/>
    <w:basedOn w:val="Index1"/>
    <w:next w:val="Normal"/>
    <w:autoRedefine/>
    <w:uiPriority w:val="99"/>
    <w:semiHidden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pPr>
      <w:ind w:left="2880"/>
    </w:pPr>
  </w:style>
  <w:style w:type="paragraph" w:styleId="IndexHeading">
    <w:name w:val="index heading"/>
    <w:basedOn w:val="Normal"/>
    <w:next w:val="Index1"/>
    <w:uiPriority w:val="99"/>
    <w:semiHidden/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NormalIndent">
    <w:name w:val="Normal Indent"/>
    <w:basedOn w:val="Normal"/>
    <w:uiPriority w:val="99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F62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2">
    <w:name w:val="toc 2"/>
    <w:basedOn w:val="Normal"/>
    <w:uiPriority w:val="39"/>
    <w:semiHidden/>
    <w:pPr>
      <w:ind w:left="720"/>
    </w:pPr>
  </w:style>
  <w:style w:type="paragraph" w:styleId="TOC1">
    <w:name w:val="toc 1"/>
    <w:basedOn w:val="Normal"/>
    <w:uiPriority w:val="39"/>
    <w:semiHidden/>
    <w:pPr>
      <w:spacing w:before="240" w:after="240"/>
    </w:pPr>
    <w:rPr>
      <w:caps/>
    </w:rPr>
  </w:style>
  <w:style w:type="paragraph" w:styleId="TOC3">
    <w:name w:val="toc 3"/>
    <w:basedOn w:val="Normal"/>
    <w:uiPriority w:val="39"/>
    <w:semiHidden/>
    <w:pPr>
      <w:ind w:left="1440"/>
    </w:pPr>
  </w:style>
  <w:style w:type="paragraph" w:styleId="TOC4">
    <w:name w:val="toc 4"/>
    <w:basedOn w:val="Normal"/>
    <w:next w:val="Normal"/>
    <w:uiPriority w:val="39"/>
    <w:semiHidden/>
    <w:pPr>
      <w:ind w:left="1440"/>
    </w:pPr>
  </w:style>
  <w:style w:type="paragraph" w:styleId="TOC5">
    <w:name w:val="toc 5"/>
    <w:basedOn w:val="Normal"/>
    <w:next w:val="Normal"/>
    <w:uiPriority w:val="39"/>
    <w:semiHidden/>
    <w:pPr>
      <w:ind w:left="144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3">
    <w:name w:val="List Bullet 3"/>
    <w:basedOn w:val="Normal"/>
    <w:autoRedefine/>
    <w:uiPriority w:val="99"/>
    <w:pPr>
      <w:numPr>
        <w:numId w:val="12"/>
      </w:numPr>
      <w:tabs>
        <w:tab w:val="clear" w:pos="1080"/>
      </w:tabs>
      <w:ind w:left="2160" w:hanging="720"/>
    </w:pPr>
  </w:style>
  <w:style w:type="paragraph" w:styleId="ListBullet4">
    <w:name w:val="List Bullet 4"/>
    <w:basedOn w:val="Normal"/>
    <w:autoRedefine/>
    <w:uiPriority w:val="99"/>
    <w:pPr>
      <w:numPr>
        <w:numId w:val="13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Normal"/>
    <w:autoRedefine/>
    <w:uiPriority w:val="99"/>
    <w:pPr>
      <w:numPr>
        <w:numId w:val="14"/>
      </w:numPr>
      <w:tabs>
        <w:tab w:val="clear" w:pos="1800"/>
      </w:tabs>
      <w:ind w:left="3600" w:hanging="720"/>
    </w:pPr>
  </w:style>
  <w:style w:type="paragraph" w:styleId="ListNumber3">
    <w:name w:val="List Number 3"/>
    <w:basedOn w:val="ListNumber"/>
    <w:uiPriority w:val="99"/>
    <w:pPr>
      <w:numPr>
        <w:numId w:val="15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uiPriority w:val="99"/>
  </w:style>
  <w:style w:type="paragraph" w:styleId="ListNumber4">
    <w:name w:val="List Number 4"/>
    <w:basedOn w:val="ListNumber"/>
    <w:uiPriority w:val="99"/>
    <w:pPr>
      <w:numPr>
        <w:numId w:val="16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uiPriority w:val="99"/>
    <w:pPr>
      <w:numPr>
        <w:numId w:val="17"/>
      </w:numPr>
      <w:tabs>
        <w:tab w:val="clear" w:pos="1800"/>
      </w:tabs>
      <w:ind w:left="3600" w:hanging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2E5"/>
    <w:rPr>
      <w:sz w:val="24"/>
    </w:rPr>
  </w:style>
  <w:style w:type="paragraph" w:styleId="TOC9">
    <w:name w:val="toc 9"/>
    <w:basedOn w:val="TOC8"/>
    <w:next w:val="Normal"/>
    <w:uiPriority w:val="39"/>
    <w:semiHidden/>
  </w:style>
  <w:style w:type="paragraph" w:styleId="TOC8">
    <w:name w:val="toc 8"/>
    <w:basedOn w:val="Normal"/>
    <w:next w:val="Normal"/>
    <w:uiPriority w:val="39"/>
    <w:semiHidden/>
    <w:pPr>
      <w:ind w:left="1440"/>
    </w:pPr>
  </w:style>
  <w:style w:type="paragraph" w:styleId="TOC7">
    <w:name w:val="toc 7"/>
    <w:basedOn w:val="Normal"/>
    <w:next w:val="Normal"/>
    <w:uiPriority w:val="39"/>
    <w:semiHidden/>
    <w:pPr>
      <w:ind w:left="1440"/>
    </w:pPr>
  </w:style>
  <w:style w:type="paragraph" w:styleId="TOC6">
    <w:name w:val="toc 6"/>
    <w:basedOn w:val="Normal"/>
    <w:next w:val="Normal"/>
    <w:uiPriority w:val="39"/>
    <w:semiHidden/>
    <w:pPr>
      <w:ind w:left="1440"/>
    </w:p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2E5"/>
    <w:rPr>
      <w:sz w:val="24"/>
    </w:rPr>
  </w:style>
  <w:style w:type="paragraph" w:styleId="ListNumber2">
    <w:name w:val="List Number 2"/>
    <w:basedOn w:val="ListNumber"/>
    <w:uiPriority w:val="99"/>
    <w:pPr>
      <w:numPr>
        <w:numId w:val="4"/>
      </w:numPr>
      <w:ind w:left="1440" w:hanging="720"/>
    </w:pPr>
  </w:style>
  <w:style w:type="paragraph" w:styleId="List5">
    <w:name w:val="List 5"/>
    <w:basedOn w:val="List4"/>
    <w:uiPriority w:val="99"/>
    <w:pPr>
      <w:ind w:left="3600"/>
    </w:pPr>
  </w:style>
  <w:style w:type="paragraph" w:styleId="List4">
    <w:name w:val="List 4"/>
    <w:basedOn w:val="List3"/>
    <w:uiPriority w:val="99"/>
    <w:pPr>
      <w:ind w:left="2880"/>
    </w:pPr>
  </w:style>
  <w:style w:type="paragraph" w:styleId="List3">
    <w:name w:val="List 3"/>
    <w:basedOn w:val="List2"/>
    <w:uiPriority w:val="99"/>
    <w:pPr>
      <w:ind w:left="216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1">
    <w:name w:val="List 1"/>
    <w:basedOn w:val="List"/>
    <w:pPr>
      <w:ind w:left="720" w:hanging="720"/>
    </w:pPr>
  </w:style>
  <w:style w:type="paragraph" w:styleId="List">
    <w:name w:val="List"/>
    <w:basedOn w:val="Normal"/>
    <w:uiPriority w:val="99"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FF62E5"/>
    <w:rPr>
      <w:sz w:val="24"/>
    </w:rPr>
  </w:style>
  <w:style w:type="paragraph" w:styleId="ListBullet2">
    <w:name w:val="List Bullet 2"/>
    <w:basedOn w:val="Normal"/>
    <w:autoRedefine/>
    <w:uiPriority w:val="99"/>
    <w:pPr>
      <w:numPr>
        <w:numId w:val="18"/>
      </w:numPr>
      <w:tabs>
        <w:tab w:val="clear" w:pos="720"/>
      </w:tabs>
      <w:ind w:left="1440" w:hanging="72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FF62E5"/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2E5"/>
    <w:rPr>
      <w:sz w:val="24"/>
    </w:rPr>
  </w:style>
  <w:style w:type="paragraph" w:customStyle="1" w:styleId="Address">
    <w:name w:val="Address"/>
    <w:basedOn w:val="Normal"/>
    <w:next w:val="Normal"/>
  </w:style>
  <w:style w:type="paragraph" w:customStyle="1" w:styleId="ccList">
    <w:name w:val="cc List"/>
    <w:basedOn w:val="Normal"/>
    <w:next w:val="Normal"/>
  </w:style>
  <w:style w:type="paragraph" w:customStyle="1" w:styleId="Enclosure">
    <w:name w:val="Enclosure"/>
    <w:basedOn w:val="Normal"/>
    <w:next w:val="Normal"/>
    <w:pPr>
      <w:spacing w:after="240"/>
    </w:pPr>
  </w:style>
  <w:style w:type="paragraph" w:customStyle="1" w:styleId="Initials">
    <w:name w:val="Initials"/>
    <w:basedOn w:val="Normal"/>
    <w:next w:val="Normal"/>
    <w:pPr>
      <w:spacing w:after="240"/>
    </w:pPr>
  </w:style>
  <w:style w:type="paragraph" w:customStyle="1" w:styleId="Privacy">
    <w:name w:val="Privacy"/>
    <w:basedOn w:val="Normal"/>
    <w:next w:val="Normal"/>
    <w:pPr>
      <w:spacing w:before="240" w:after="240"/>
      <w:jc w:val="center"/>
    </w:pPr>
    <w:rPr>
      <w:b/>
    </w:rPr>
  </w:style>
  <w:style w:type="paragraph" w:customStyle="1" w:styleId="ReLine">
    <w:name w:val="Re Line"/>
    <w:basedOn w:val="Normal"/>
    <w:next w:val="Normal"/>
    <w:pPr>
      <w:spacing w:before="240" w:after="240"/>
      <w:ind w:left="2880" w:hanging="1440"/>
    </w:p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color w:val="FF0000"/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customStyle="1" w:styleId="BelowDate">
    <w:name w:val="BelowDate"/>
    <w:basedOn w:val="Normal"/>
    <w:pPr>
      <w:framePr w:hSpace="187" w:wrap="notBeside" w:vAnchor="page" w:hAnchor="text" w:xAlign="center" w:y="3241"/>
      <w:jc w:val="center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color w:val="auto"/>
      <w:position w:val="6"/>
      <w:sz w:val="18"/>
    </w:rPr>
  </w:style>
  <w:style w:type="paragraph" w:customStyle="1" w:styleId="BodyTextFirst5">
    <w:name w:val="Body Text First .5"/>
    <w:aliases w:val="btf"/>
    <w:basedOn w:val="Normal"/>
    <w:pPr>
      <w:spacing w:after="240"/>
      <w:ind w:firstLine="720"/>
    </w:pPr>
  </w:style>
  <w:style w:type="paragraph" w:customStyle="1" w:styleId="BodyTextDbl">
    <w:name w:val="Body Text Dbl"/>
    <w:aliases w:val="btd"/>
    <w:basedOn w:val="Normal"/>
    <w:pPr>
      <w:spacing w:line="480" w:lineRule="auto"/>
    </w:pPr>
  </w:style>
  <w:style w:type="paragraph" w:customStyle="1" w:styleId="BodyTextDblFirst5">
    <w:name w:val="Body Text Dbl First .5"/>
    <w:aliases w:val="btdf"/>
    <w:basedOn w:val="Normal"/>
    <w:pPr>
      <w:spacing w:line="480" w:lineRule="auto"/>
      <w:ind w:firstLine="720"/>
    </w:pPr>
  </w:style>
  <w:style w:type="paragraph" w:customStyle="1" w:styleId="BodyTextFJ">
    <w:name w:val="Body Text FJ"/>
    <w:aliases w:val="btj"/>
    <w:basedOn w:val="Normal"/>
    <w:pPr>
      <w:spacing w:after="240"/>
      <w:jc w:val="both"/>
    </w:pPr>
  </w:style>
  <w:style w:type="paragraph" w:customStyle="1" w:styleId="BodyTextFJFirst5">
    <w:name w:val="Body Text FJ First .5"/>
    <w:aliases w:val="btjf"/>
    <w:basedOn w:val="Normal"/>
    <w:pPr>
      <w:spacing w:after="240"/>
      <w:ind w:firstLine="720"/>
      <w:jc w:val="both"/>
    </w:p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2E5"/>
    <w:rPr>
      <w:rFonts w:ascii="Courier New" w:hAnsi="Courier New" w:cs="Courier New"/>
    </w:rPr>
  </w:style>
  <w:style w:type="paragraph" w:customStyle="1" w:styleId="Plain">
    <w:name w:val="Plain"/>
    <w:pPr>
      <w:spacing w:line="240" w:lineRule="exact"/>
    </w:pPr>
    <w:rPr>
      <w:sz w:val="24"/>
    </w:rPr>
  </w:style>
  <w:style w:type="paragraph" w:styleId="Quote">
    <w:name w:val="Quote"/>
    <w:aliases w:val="q"/>
    <w:basedOn w:val="Normal"/>
    <w:next w:val="Normal"/>
    <w:link w:val="QuoteChar"/>
    <w:uiPriority w:val="29"/>
    <w:pPr>
      <w:spacing w:after="240"/>
      <w:ind w:left="1440" w:right="1440"/>
    </w:pPr>
  </w:style>
  <w:style w:type="character" w:customStyle="1" w:styleId="QuoteChar">
    <w:name w:val="Quote Char"/>
    <w:aliases w:val="q Char"/>
    <w:basedOn w:val="DefaultParagraphFont"/>
    <w:link w:val="Quote"/>
    <w:uiPriority w:val="29"/>
    <w:rsid w:val="00FF62E5"/>
    <w:rPr>
      <w:i/>
      <w:iCs/>
      <w:color w:val="000000" w:themeColor="text1"/>
      <w:sz w:val="24"/>
    </w:rPr>
  </w:style>
  <w:style w:type="paragraph" w:customStyle="1" w:styleId="DWListBullet">
    <w:name w:val="DW List Bullet"/>
    <w:basedOn w:val="Normal"/>
    <w:pPr>
      <w:numPr>
        <w:numId w:val="21"/>
      </w:numPr>
      <w:spacing w:after="240"/>
    </w:pPr>
  </w:style>
  <w:style w:type="paragraph" w:customStyle="1" w:styleId="QuoteDoubleSpace">
    <w:name w:val="Quote DoubleSpace"/>
    <w:aliases w:val="qd"/>
    <w:basedOn w:val="Quote"/>
    <w:next w:val="Normal"/>
    <w:pPr>
      <w:spacing w:line="480" w:lineRule="auto"/>
    </w:pPr>
  </w:style>
  <w:style w:type="paragraph" w:customStyle="1" w:styleId="RecipientTitle">
    <w:name w:val="RecipientTitle"/>
    <w:basedOn w:val="Normal"/>
  </w:style>
  <w:style w:type="paragraph" w:customStyle="1" w:styleId="Recital">
    <w:name w:val="Recital"/>
    <w:basedOn w:val="Normal"/>
    <w:next w:val="Normal"/>
    <w:pPr>
      <w:spacing w:before="480" w:after="240"/>
      <w:jc w:val="center"/>
    </w:pPr>
    <w:rPr>
      <w:caps/>
      <w:u w:val="word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2E5"/>
    <w:rPr>
      <w:sz w:val="0"/>
      <w:szCs w:val="0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istBullet1">
    <w:name w:val="List Bullet 1"/>
    <w:basedOn w:val="Normal"/>
    <w:autoRedefine/>
    <w:pPr>
      <w:numPr>
        <w:numId w:val="19"/>
      </w:numPr>
      <w:tabs>
        <w:tab w:val="clear" w:pos="360"/>
      </w:tabs>
      <w:ind w:left="720" w:hanging="720"/>
    </w:pPr>
  </w:style>
  <w:style w:type="paragraph" w:customStyle="1" w:styleId="ListNumber1">
    <w:name w:val="List Number 1"/>
    <w:basedOn w:val="ListNumber"/>
    <w:pPr>
      <w:numPr>
        <w:numId w:val="20"/>
      </w:numPr>
      <w:tabs>
        <w:tab w:val="clear" w:pos="360"/>
      </w:tabs>
      <w:ind w:left="720" w:hanging="7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2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2E5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customStyle="1" w:styleId="DWListNumber">
    <w:name w:val="DW List Number"/>
    <w:basedOn w:val="Normal"/>
    <w:pPr>
      <w:numPr>
        <w:numId w:val="22"/>
      </w:numPr>
      <w:tabs>
        <w:tab w:val="clear" w:pos="1440"/>
      </w:tabs>
      <w:spacing w:after="240"/>
    </w:pPr>
  </w:style>
  <w:style w:type="paragraph" w:customStyle="1" w:styleId="TOCTitle">
    <w:name w:val="TOC Title"/>
    <w:basedOn w:val="Normal"/>
    <w:next w:val="TOC1"/>
    <w:pPr>
      <w:jc w:val="center"/>
    </w:pPr>
    <w:rPr>
      <w:b/>
      <w:caps/>
    </w:rPr>
  </w:style>
  <w:style w:type="paragraph" w:customStyle="1" w:styleId="Table">
    <w:name w:val="Table"/>
    <w:basedOn w:val="Normal"/>
    <w:pPr>
      <w:spacing w:before="60" w:after="60"/>
    </w:pPr>
  </w:style>
  <w:style w:type="paragraph" w:customStyle="1" w:styleId="TableHeadings">
    <w:name w:val="Table Headings"/>
    <w:basedOn w:val="Table"/>
    <w:rPr>
      <w:b/>
    </w:rPr>
  </w:style>
  <w:style w:type="paragraph" w:customStyle="1" w:styleId="TableSubtotal">
    <w:name w:val="Table Subtotal"/>
    <w:basedOn w:val="Table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pPr>
      <w:spacing w:before="40" w:after="40"/>
    </w:pPr>
  </w:style>
  <w:style w:type="paragraph" w:customStyle="1" w:styleId="TableTotal">
    <w:name w:val="Table Total"/>
    <w:basedOn w:val="Table"/>
    <w:pPr>
      <w:pBdr>
        <w:bottom w:val="double" w:sz="4" w:space="1" w:color="auto"/>
      </w:pBdr>
    </w:pPr>
    <w:rPr>
      <w:b/>
    </w:rPr>
  </w:style>
  <w:style w:type="paragraph" w:customStyle="1" w:styleId="BodyTextFJDbl">
    <w:name w:val="Body Text FJ Dbl"/>
    <w:aliases w:val="btjd"/>
    <w:basedOn w:val="Normal"/>
    <w:pPr>
      <w:spacing w:line="480" w:lineRule="auto"/>
      <w:jc w:val="both"/>
    </w:pPr>
  </w:style>
  <w:style w:type="paragraph" w:customStyle="1" w:styleId="BodyTextFJDblFirst5">
    <w:name w:val="Body Text FJ Dbl First .5"/>
    <w:aliases w:val="btjdf"/>
    <w:basedOn w:val="Normal"/>
    <w:pPr>
      <w:spacing w:line="480" w:lineRule="auto"/>
      <w:ind w:firstLine="720"/>
      <w:jc w:val="both"/>
    </w:pPr>
  </w:style>
  <w:style w:type="paragraph" w:customStyle="1" w:styleId="SubtitleLeft">
    <w:name w:val="Subtitle Left"/>
    <w:aliases w:val="sl"/>
    <w:basedOn w:val="Normal"/>
    <w:pPr>
      <w:spacing w:after="240"/>
    </w:pPr>
    <w:rPr>
      <w:b/>
    </w:rPr>
  </w:style>
  <w:style w:type="paragraph" w:customStyle="1" w:styleId="SubtitleLeftDbl">
    <w:name w:val="Subtitle Left Dbl"/>
    <w:aliases w:val="sld"/>
    <w:basedOn w:val="Normal"/>
    <w:pPr>
      <w:spacing w:line="480" w:lineRule="auto"/>
    </w:pPr>
    <w:rPr>
      <w:b/>
    </w:rPr>
  </w:style>
  <w:style w:type="paragraph" w:customStyle="1" w:styleId="Titlenotoc">
    <w:name w:val="Title (no toc)"/>
    <w:basedOn w:val="Title"/>
    <w:pPr>
      <w:spacing w:after="360"/>
      <w:outlineLvl w:val="9"/>
    </w:pPr>
  </w:style>
  <w:style w:type="paragraph" w:customStyle="1" w:styleId="TitleAppendix">
    <w:name w:val="Title Appendix"/>
    <w:basedOn w:val="Title"/>
    <w:pPr>
      <w:spacing w:after="360"/>
    </w:pPr>
  </w:style>
  <w:style w:type="paragraph" w:customStyle="1" w:styleId="TitleCover">
    <w:name w:val="Title Cover"/>
    <w:basedOn w:val="Titlenotoc"/>
    <w:rPr>
      <w:sz w:val="28"/>
    </w:rPr>
  </w:style>
  <w:style w:type="paragraph" w:customStyle="1" w:styleId="TitleDate">
    <w:name w:val="Title Date"/>
    <w:basedOn w:val="TitleCover"/>
    <w:pPr>
      <w:spacing w:before="240"/>
    </w:pPr>
  </w:style>
  <w:style w:type="paragraph" w:customStyle="1" w:styleId="TitleDocument">
    <w:name w:val="Title Document"/>
    <w:basedOn w:val="Titlenotoc"/>
    <w:next w:val="BodyText"/>
    <w:rPr>
      <w:caps/>
      <w:sz w:val="28"/>
    </w:rPr>
  </w:style>
  <w:style w:type="paragraph" w:customStyle="1" w:styleId="TitleExhibit">
    <w:name w:val="Title Exhibit"/>
    <w:basedOn w:val="Title"/>
    <w:pPr>
      <w:spacing w:before="480" w:after="360"/>
      <w:jc w:val="right"/>
    </w:pPr>
    <w:rPr>
      <w:caps/>
    </w:rPr>
  </w:style>
  <w:style w:type="paragraph" w:customStyle="1" w:styleId="TitleIndex">
    <w:name w:val="Title Index"/>
    <w:basedOn w:val="Title"/>
    <w:pPr>
      <w:spacing w:after="360"/>
    </w:pPr>
  </w:style>
  <w:style w:type="paragraph" w:customStyle="1" w:styleId="TitleSchedule">
    <w:name w:val="Title Schedule"/>
    <w:basedOn w:val="Title"/>
    <w:pPr>
      <w:spacing w:before="360" w:after="360"/>
      <w:jc w:val="right"/>
    </w:pPr>
    <w:rPr>
      <w:caps/>
    </w:rPr>
  </w:style>
  <w:style w:type="paragraph" w:customStyle="1" w:styleId="TitleTOC">
    <w:name w:val="Title TOC"/>
    <w:basedOn w:val="Titlenotoc"/>
  </w:style>
  <w:style w:type="paragraph" w:customStyle="1" w:styleId="TitleTOE">
    <w:name w:val="Title TOE"/>
    <w:basedOn w:val="Titlenotoc"/>
  </w:style>
  <w:style w:type="paragraph" w:styleId="BlockText">
    <w:name w:val="Block Text"/>
    <w:basedOn w:val="Normal"/>
    <w:uiPriority w:val="99"/>
    <w:pPr>
      <w:spacing w:after="24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emplates\TL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TLBlank Portrait.dot</Template>
  <TotalTime>1</TotalTime>
  <Pages>2</Pages>
  <Words>281</Words>
  <Characters>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2007-06-09T15:40:00Z</cp:lastPrinted>
  <dcterms:created xsi:type="dcterms:W3CDTF">2007-08-14T16:24:00Z</dcterms:created>
  <dcterms:modified xsi:type="dcterms:W3CDTF">2007-08-14T16:24:00Z</dcterms:modified>
</cp:coreProperties>
</file>